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26" w:rsidRPr="00174026" w:rsidRDefault="00993C2B" w:rsidP="00174026">
      <w:pPr>
        <w:pStyle w:val="ox-0885511c2c-msonormal"/>
        <w:shd w:val="clear" w:color="auto" w:fill="FFFFFF"/>
        <w:spacing w:before="120" w:beforeAutospacing="0" w:after="120" w:afterAutospacing="0"/>
        <w:jc w:val="center"/>
        <w:rPr>
          <w:rFonts w:asciiTheme="majorHAnsi" w:hAnsiTheme="majorHAnsi" w:cstheme="majorHAnsi"/>
          <w:b/>
          <w:color w:val="000000"/>
          <w:sz w:val="28"/>
          <w:szCs w:val="22"/>
          <w:shd w:val="clear" w:color="auto" w:fill="FFFFFF"/>
        </w:rPr>
      </w:pPr>
      <w:r w:rsidRPr="00174026">
        <w:rPr>
          <w:rFonts w:asciiTheme="majorHAnsi" w:hAnsiTheme="majorHAnsi" w:cstheme="majorHAnsi"/>
          <w:b/>
          <w:color w:val="000000"/>
          <w:sz w:val="28"/>
          <w:szCs w:val="22"/>
          <w:shd w:val="clear" w:color="auto" w:fill="FFFFFF"/>
        </w:rPr>
        <w:t xml:space="preserve">Kanon dzieł obowiązujących dla opisu dzieła podczas etapu szkolnego </w:t>
      </w:r>
    </w:p>
    <w:p w:rsidR="00993C2B" w:rsidRPr="00174026" w:rsidRDefault="00993C2B" w:rsidP="00174026">
      <w:pPr>
        <w:pStyle w:val="ox-0885511c2c-msonormal"/>
        <w:shd w:val="clear" w:color="auto" w:fill="FFFFFF"/>
        <w:spacing w:before="120" w:beforeAutospacing="0" w:after="120" w:afterAutospacing="0"/>
        <w:jc w:val="center"/>
        <w:rPr>
          <w:rFonts w:asciiTheme="majorHAnsi" w:hAnsiTheme="majorHAnsi" w:cstheme="majorHAnsi"/>
          <w:b/>
          <w:color w:val="000000"/>
          <w:sz w:val="28"/>
          <w:szCs w:val="22"/>
          <w:shd w:val="clear" w:color="auto" w:fill="FFFFFF"/>
        </w:rPr>
      </w:pPr>
      <w:r w:rsidRPr="00174026">
        <w:rPr>
          <w:rFonts w:asciiTheme="majorHAnsi" w:hAnsiTheme="majorHAnsi" w:cstheme="majorHAnsi"/>
          <w:b/>
          <w:color w:val="000000"/>
          <w:sz w:val="28"/>
          <w:szCs w:val="22"/>
          <w:shd w:val="clear" w:color="auto" w:fill="FFFFFF"/>
        </w:rPr>
        <w:t>oraz eliminacji ustnych etapu okręgowego Olimpiady Artystycznej</w:t>
      </w:r>
    </w:p>
    <w:p w:rsidR="00174026" w:rsidRPr="00993C2B" w:rsidRDefault="00174026" w:rsidP="00174026">
      <w:pPr>
        <w:pStyle w:val="ox-0885511c2c-msonormal"/>
        <w:shd w:val="clear" w:color="auto" w:fill="FFFFFF"/>
        <w:spacing w:before="120" w:beforeAutospacing="0" w:after="120" w:afterAutospacing="0"/>
        <w:jc w:val="center"/>
        <w:rPr>
          <w:rFonts w:asciiTheme="majorHAnsi" w:hAnsiTheme="majorHAnsi" w:cstheme="majorHAnsi"/>
          <w:color w:val="000000"/>
          <w:sz w:val="28"/>
          <w:szCs w:val="22"/>
          <w:shd w:val="clear" w:color="auto" w:fill="FFFFFF"/>
        </w:rPr>
      </w:pPr>
    </w:p>
    <w:p w:rsidR="00993C2B" w:rsidRDefault="00993C2B" w:rsidP="00174026">
      <w:pPr>
        <w:pStyle w:val="ox-0885511c2c-msonormal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174026" w:rsidRPr="00174026" w:rsidRDefault="00174026" w:rsidP="00174026">
      <w:pPr>
        <w:pStyle w:val="ox-0885511c2c-msonormal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174026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Kanon obejmuje dzieła ilustrowane w wymienionych niżej publikacjach:</w:t>
      </w:r>
    </w:p>
    <w:p w:rsidR="00174026" w:rsidRDefault="00174026" w:rsidP="00174026">
      <w:pPr>
        <w:pStyle w:val="ox-0885511c2c-msonormal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993C2B" w:rsidRDefault="00993C2B" w:rsidP="00174026">
      <w:pPr>
        <w:pStyle w:val="ox-005b21a66a-msonormal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J. Białostocki, </w:t>
      </w:r>
      <w:r w:rsidRPr="00993C2B">
        <w:rPr>
          <w:rFonts w:ascii="Calibri" w:hAnsi="Calibri" w:cs="Calibri"/>
          <w:i/>
          <w:color w:val="000000"/>
          <w:sz w:val="22"/>
          <w:szCs w:val="22"/>
        </w:rPr>
        <w:t>Sztuka cenniejsza niż złoto</w:t>
      </w:r>
      <w:r>
        <w:rPr>
          <w:rFonts w:ascii="Calibri" w:hAnsi="Calibri" w:cs="Calibri"/>
          <w:color w:val="000000"/>
          <w:sz w:val="22"/>
          <w:szCs w:val="22"/>
        </w:rPr>
        <w:t xml:space="preserve">, t. </w:t>
      </w:r>
      <w:r w:rsidR="00174026">
        <w:rPr>
          <w:rFonts w:ascii="Calibri" w:hAnsi="Calibri" w:cs="Calibri"/>
          <w:color w:val="000000"/>
          <w:sz w:val="22"/>
          <w:szCs w:val="22"/>
        </w:rPr>
        <w:t>1–2</w:t>
      </w:r>
      <w:r>
        <w:rPr>
          <w:rFonts w:ascii="Calibri" w:hAnsi="Calibri" w:cs="Calibri"/>
          <w:color w:val="000000"/>
          <w:sz w:val="22"/>
          <w:szCs w:val="22"/>
        </w:rPr>
        <w:t>, Warszawa 2001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993C2B" w:rsidRDefault="00993C2B" w:rsidP="00174026">
      <w:pPr>
        <w:pStyle w:val="ox-005b21a66a-msonormal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Gombrich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O sztuce, Warszawa 1997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74026">
        <w:rPr>
          <w:rFonts w:ascii="Calibri" w:hAnsi="Calibri" w:cs="Calibri"/>
          <w:color w:val="000000"/>
          <w:sz w:val="22"/>
          <w:szCs w:val="22"/>
        </w:rPr>
        <w:t>(oraz późniejsze wydania).</w:t>
      </w:r>
    </w:p>
    <w:p w:rsidR="00993C2B" w:rsidRDefault="00993C2B" w:rsidP="00174026">
      <w:pPr>
        <w:pStyle w:val="ox-005b21a66a-msonormal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993C2B">
        <w:rPr>
          <w:rFonts w:ascii="Calibri" w:hAnsi="Calibri" w:cs="Calibri"/>
          <w:i/>
          <w:color w:val="000000"/>
          <w:sz w:val="22"/>
          <w:szCs w:val="22"/>
        </w:rPr>
        <w:t>Sztuka Świata</w:t>
      </w:r>
      <w:r w:rsidR="00174026">
        <w:rPr>
          <w:rFonts w:ascii="Calibri" w:hAnsi="Calibri" w:cs="Calibri"/>
          <w:color w:val="000000"/>
          <w:sz w:val="22"/>
          <w:szCs w:val="22"/>
        </w:rPr>
        <w:t>, red. P. Trzeciak, t. 1–10</w:t>
      </w:r>
      <w:r>
        <w:rPr>
          <w:rFonts w:ascii="Calibri" w:hAnsi="Calibri" w:cs="Calibri"/>
          <w:color w:val="000000"/>
          <w:sz w:val="22"/>
          <w:szCs w:val="22"/>
        </w:rPr>
        <w:t>, Warszawa 1989–2000 (w tomie 4</w:t>
      </w:r>
      <w:r w:rsidR="00174026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tylko sztuka gotycka)</w:t>
      </w:r>
      <w:r w:rsidR="00174026">
        <w:rPr>
          <w:rFonts w:ascii="Calibri" w:hAnsi="Calibri" w:cs="Calibri"/>
          <w:color w:val="000000"/>
          <w:sz w:val="22"/>
          <w:szCs w:val="22"/>
        </w:rPr>
        <w:t>.</w:t>
      </w:r>
    </w:p>
    <w:p w:rsidR="00993C2B" w:rsidRDefault="00993C2B" w:rsidP="00174026">
      <w:pPr>
        <w:pStyle w:val="ox-005b21a66a-msonormal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W. Beckett, </w:t>
      </w:r>
      <w:r w:rsidRPr="00993C2B">
        <w:rPr>
          <w:rFonts w:ascii="Calibri" w:hAnsi="Calibri" w:cs="Calibri"/>
          <w:i/>
          <w:color w:val="000000"/>
          <w:sz w:val="22"/>
          <w:szCs w:val="22"/>
        </w:rPr>
        <w:t>Historia malarstwa. Wędrówki po historii sztuki zachodu</w:t>
      </w:r>
      <w:r>
        <w:rPr>
          <w:rFonts w:ascii="Calibri" w:hAnsi="Calibri" w:cs="Calibri"/>
          <w:color w:val="000000"/>
          <w:sz w:val="22"/>
          <w:szCs w:val="22"/>
        </w:rPr>
        <w:t>, Warszawa 1998</w:t>
      </w:r>
      <w:r w:rsidR="00064773">
        <w:rPr>
          <w:rFonts w:ascii="Calibri" w:hAnsi="Calibri" w:cs="Calibri"/>
          <w:color w:val="000000"/>
          <w:sz w:val="22"/>
          <w:szCs w:val="22"/>
        </w:rPr>
        <w:t>.</w:t>
      </w:r>
    </w:p>
    <w:p w:rsidR="00993C2B" w:rsidRDefault="00993C2B" w:rsidP="00174026">
      <w:pPr>
        <w:pStyle w:val="ox-005b21a66a-msonormal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993C2B">
        <w:rPr>
          <w:rFonts w:ascii="Calibri" w:hAnsi="Calibri" w:cs="Calibri"/>
          <w:i/>
          <w:color w:val="000000"/>
          <w:sz w:val="22"/>
          <w:szCs w:val="22"/>
        </w:rPr>
        <w:t>Dzieje architektury w Polsce</w:t>
      </w:r>
      <w:r>
        <w:rPr>
          <w:rFonts w:ascii="Calibri" w:hAnsi="Calibri" w:cs="Calibri"/>
          <w:color w:val="000000"/>
          <w:sz w:val="22"/>
          <w:szCs w:val="22"/>
        </w:rPr>
        <w:t xml:space="preserve">, praca zbiorowa, </w:t>
      </w:r>
      <w:r w:rsidR="00174026">
        <w:rPr>
          <w:rFonts w:ascii="Calibri" w:hAnsi="Calibri" w:cs="Calibri"/>
          <w:color w:val="000000"/>
          <w:sz w:val="22"/>
          <w:szCs w:val="22"/>
        </w:rPr>
        <w:t xml:space="preserve">Kraków </w:t>
      </w:r>
      <w:r>
        <w:rPr>
          <w:rFonts w:ascii="Calibri" w:hAnsi="Calibri" w:cs="Calibri"/>
          <w:color w:val="000000"/>
          <w:sz w:val="22"/>
          <w:szCs w:val="22"/>
        </w:rPr>
        <w:t>2006</w:t>
      </w:r>
      <w:r w:rsidR="00174026">
        <w:rPr>
          <w:rFonts w:ascii="Calibri" w:hAnsi="Calibri" w:cs="Calibri"/>
          <w:color w:val="000000"/>
          <w:sz w:val="22"/>
          <w:szCs w:val="22"/>
        </w:rPr>
        <w:t xml:space="preserve"> (</w:t>
      </w:r>
      <w:bookmarkStart w:id="0" w:name="_GoBack"/>
      <w:bookmarkEnd w:id="0"/>
      <w:r w:rsidR="00174026">
        <w:rPr>
          <w:rFonts w:ascii="Calibri" w:hAnsi="Calibri" w:cs="Calibri"/>
          <w:color w:val="000000"/>
          <w:sz w:val="22"/>
          <w:szCs w:val="22"/>
        </w:rPr>
        <w:t>wyd. Kluszczyński).</w:t>
      </w:r>
    </w:p>
    <w:p w:rsidR="00174026" w:rsidRDefault="00174026" w:rsidP="00174026">
      <w:pPr>
        <w:pStyle w:val="ox-005b21a66a-msonormal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</w:p>
    <w:p w:rsidR="00174026" w:rsidRDefault="00174026" w:rsidP="00174026">
      <w:pPr>
        <w:pStyle w:val="ox-005b21a66a-msonormal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Fotografie, które zostaną załączone do materiałów egzaminacyjnych, mogą się różnić kadrem lub ujęciem od reprodukcji w powyższych książkach.</w:t>
      </w:r>
    </w:p>
    <w:p w:rsidR="00993C2B" w:rsidRDefault="00993C2B" w:rsidP="00174026">
      <w:pPr>
        <w:pStyle w:val="ox-005b21a66a-msonormal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27397" w:rsidRDefault="00327397" w:rsidP="00174026">
      <w:pPr>
        <w:spacing w:before="120" w:after="120"/>
      </w:pPr>
    </w:p>
    <w:sectPr w:rsidR="0032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2B"/>
    <w:rsid w:val="00064773"/>
    <w:rsid w:val="00174026"/>
    <w:rsid w:val="00327397"/>
    <w:rsid w:val="009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AFEC"/>
  <w15:chartTrackingRefBased/>
  <w15:docId w15:val="{4D17371A-B8F6-41DE-AF3D-C0DBE204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0885511c2c-msonormal">
    <w:name w:val="ox-0885511c2c-msonormal"/>
    <w:basedOn w:val="Normalny"/>
    <w:rsid w:val="0099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005b21a66a-msonormal">
    <w:name w:val="ox-005b21a66a-msonormal"/>
    <w:basedOn w:val="Normalny"/>
    <w:rsid w:val="0099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Herman</dc:creator>
  <cp:keywords/>
  <dc:description/>
  <cp:lastModifiedBy>Magdalena Herman</cp:lastModifiedBy>
  <cp:revision>2</cp:revision>
  <dcterms:created xsi:type="dcterms:W3CDTF">2018-09-05T10:16:00Z</dcterms:created>
  <dcterms:modified xsi:type="dcterms:W3CDTF">2018-09-05T10:35:00Z</dcterms:modified>
</cp:coreProperties>
</file>